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453" w:rsidRDefault="00715453">
      <w:pPr>
        <w:spacing w:after="0" w:line="240" w:lineRule="auto"/>
        <w:rPr>
          <w:rFonts w:ascii="Verdana" w:hAnsi="Verdana" w:cs="Verdana"/>
          <w:sz w:val="18"/>
        </w:rPr>
      </w:pPr>
    </w:p>
    <w:p w:rsidR="00715453" w:rsidRPr="00932F80" w:rsidRDefault="00715453" w:rsidP="00715453">
      <w:pPr>
        <w:pStyle w:val="ESTILOPORTADA"/>
        <w:spacing w:before="8504"/>
        <w:jc w:val="right"/>
        <w:rPr>
          <w:b w:val="0"/>
          <w:color w:val="000000" w:themeColor="text1"/>
        </w:rPr>
      </w:pPr>
      <w:r w:rsidRPr="00932F80">
        <w:rPr>
          <w:b w:val="0"/>
          <w:color w:val="000000" w:themeColor="text1"/>
        </w:rPr>
        <w:t>A</w:t>
      </w:r>
      <w:r w:rsidR="004B217C">
        <w:rPr>
          <w:b w:val="0"/>
          <w:color w:val="000000" w:themeColor="text1"/>
        </w:rPr>
        <w:t>5</w:t>
      </w:r>
      <w:r w:rsidRPr="00932F80">
        <w:rPr>
          <w:b w:val="0"/>
          <w:color w:val="000000" w:themeColor="text1"/>
        </w:rPr>
        <w:t>. CÁLCULO ESTRUCTURAL</w:t>
      </w:r>
    </w:p>
    <w:p w:rsidR="00715453" w:rsidRPr="00932F80" w:rsidRDefault="00715453" w:rsidP="00715453">
      <w:pPr>
        <w:spacing w:after="0"/>
        <w:jc w:val="right"/>
        <w:rPr>
          <w:rFonts w:ascii="Verdana" w:hAnsi="Verdana"/>
          <w:b/>
          <w:color w:val="000000" w:themeColor="text1"/>
          <w:sz w:val="32"/>
          <w:szCs w:val="32"/>
        </w:rPr>
      </w:pPr>
      <w:r w:rsidRPr="00932F80">
        <w:rPr>
          <w:rFonts w:ascii="Verdana" w:hAnsi="Verdana"/>
          <w:b/>
          <w:color w:val="000000" w:themeColor="text1"/>
          <w:sz w:val="32"/>
          <w:szCs w:val="32"/>
        </w:rPr>
        <w:t>B0</w:t>
      </w:r>
      <w:r>
        <w:rPr>
          <w:rFonts w:ascii="Verdana" w:hAnsi="Verdana"/>
          <w:b/>
          <w:color w:val="000000" w:themeColor="text1"/>
          <w:sz w:val="32"/>
          <w:szCs w:val="32"/>
        </w:rPr>
        <w:t>2</w:t>
      </w:r>
      <w:r w:rsidRPr="00932F80">
        <w:rPr>
          <w:rFonts w:ascii="Verdana" w:hAnsi="Verdana"/>
          <w:b/>
          <w:color w:val="000000" w:themeColor="text1"/>
          <w:sz w:val="32"/>
          <w:szCs w:val="32"/>
        </w:rPr>
        <w:t xml:space="preserve">. </w:t>
      </w:r>
      <w:r>
        <w:rPr>
          <w:rFonts w:ascii="Verdana" w:hAnsi="Verdana"/>
          <w:b/>
          <w:color w:val="000000" w:themeColor="text1"/>
          <w:sz w:val="32"/>
          <w:szCs w:val="32"/>
        </w:rPr>
        <w:t>COMBINACIONES</w:t>
      </w:r>
    </w:p>
    <w:p w:rsidR="00715453" w:rsidRDefault="00715453">
      <w:pPr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br w:type="page"/>
      </w:r>
    </w:p>
    <w:p w:rsidR="00715453" w:rsidRDefault="00715453">
      <w:pPr>
        <w:rPr>
          <w:rFonts w:ascii="Verdana" w:hAnsi="Verdana" w:cs="Verdana"/>
          <w:sz w:val="18"/>
        </w:rPr>
      </w:pP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Next/>
        <w:numPr>
          <w:ilvl w:val="0"/>
          <w:numId w:val="1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Nombres de las hipótesis</w:t>
      </w: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97"/>
        <w:gridCol w:w="6934"/>
      </w:tblGrid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PP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Peso propio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CM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Cargas muertas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Qa (C)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Sobrecarga (Uso C. Zonas de acceso al público)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Qa (G2)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Sobrecarga (Uso G2. Cubiertas accesibles únicamente para mantenimiento)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V(+X exc.+)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+X exc.+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V(+X exc.-)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+X exc.-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V(-X exc.+)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-X exc.+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V(-X exc.-)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-X exc.-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V(+Y exc.+)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+Y exc.+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V(+Y exc.-)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+Y exc.-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V(-Y exc.+)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-Y exc.+</w:t>
            </w:r>
          </w:p>
        </w:tc>
      </w:tr>
      <w:tr w:rsidR="004A1E84">
        <w:trPr>
          <w:cantSplit/>
        </w:trPr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V(-Y exc.-)</w:t>
            </w:r>
          </w:p>
        </w:tc>
        <w:tc>
          <w:tcPr>
            <w:tcW w:w="0" w:type="auto"/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  <w:r>
              <w:rPr>
                <w:rFonts w:ascii="Verdana" w:hAnsi="Verdana" w:cs="Verdana"/>
                <w:sz w:val="18"/>
              </w:rPr>
              <w:t>Viento -Y exc.-</w:t>
            </w:r>
          </w:p>
        </w:tc>
      </w:tr>
    </w:tbl>
    <w:p w:rsidR="004A1E84" w:rsidRDefault="004A1E84">
      <w:pPr>
        <w:spacing w:after="0" w:line="2" w:lineRule="auto"/>
      </w:pP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Next/>
        <w:numPr>
          <w:ilvl w:val="0"/>
          <w:numId w:val="2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Categorías de uso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C. Zonas de acceso al público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G2. Cubiertas accesibles únicamente para mantenimiento</w:t>
      </w: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Next/>
        <w:numPr>
          <w:ilvl w:val="0"/>
          <w:numId w:val="3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E.L.U. de rotura. Hormigón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CTE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Cota de nieve: Altitud inferior o igual a 1000 m</w:t>
      </w:r>
    </w:p>
    <w:p w:rsidR="004A1E84" w:rsidRDefault="00CC4B9E">
      <w:pPr>
        <w:keepNext/>
        <w:numPr>
          <w:ilvl w:val="0"/>
          <w:numId w:val="3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E.L.U. de rotura. Pilares mixtos de hormigón y acero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CTE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Cota de nieve: Altitud inferior o igual a 1000 m</w:t>
      </w:r>
    </w:p>
    <w:p w:rsidR="004A1E84" w:rsidRDefault="00CC4B9E">
      <w:pPr>
        <w:keepNext/>
        <w:numPr>
          <w:ilvl w:val="0"/>
          <w:numId w:val="3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E.L.U. de rotura. Aluminio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EC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Nieve: Altitud inferior o igual a 1000 m</w:t>
      </w: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4"/>
        <w:gridCol w:w="463"/>
        <w:gridCol w:w="463"/>
        <w:gridCol w:w="525"/>
        <w:gridCol w:w="625"/>
        <w:gridCol w:w="944"/>
        <w:gridCol w:w="893"/>
        <w:gridCol w:w="893"/>
        <w:gridCol w:w="842"/>
        <w:gridCol w:w="934"/>
        <w:gridCol w:w="883"/>
        <w:gridCol w:w="883"/>
        <w:gridCol w:w="832"/>
      </w:tblGrid>
      <w:tr w:rsidR="004A1E84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Comb.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exc.-)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lastRenderedPageBreak/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lastRenderedPageBreak/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</w:tbl>
    <w:p w:rsidR="004A1E84" w:rsidRDefault="004A1E84">
      <w:pPr>
        <w:spacing w:after="0" w:line="2" w:lineRule="auto"/>
      </w:pP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Next/>
        <w:numPr>
          <w:ilvl w:val="0"/>
          <w:numId w:val="4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 xml:space="preserve">E.L.U. </w:t>
      </w:r>
      <w:bookmarkStart w:id="0" w:name="_GoBack"/>
      <w:bookmarkEnd w:id="0"/>
      <w:r>
        <w:rPr>
          <w:rFonts w:ascii="Verdana" w:hAnsi="Verdana" w:cs="Verdana"/>
          <w:b/>
          <w:sz w:val="18"/>
        </w:rPr>
        <w:t>de rotura. Hormigón en cimentaciones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CTE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Cota de nieve: Altitud inferior o igual a 1000 m</w:t>
      </w:r>
    </w:p>
    <w:p w:rsidR="004A1E84" w:rsidRDefault="00CC4B9E">
      <w:pPr>
        <w:keepNext/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4"/>
        <w:gridCol w:w="463"/>
        <w:gridCol w:w="463"/>
        <w:gridCol w:w="525"/>
        <w:gridCol w:w="625"/>
        <w:gridCol w:w="944"/>
        <w:gridCol w:w="893"/>
        <w:gridCol w:w="893"/>
        <w:gridCol w:w="842"/>
        <w:gridCol w:w="934"/>
        <w:gridCol w:w="883"/>
        <w:gridCol w:w="883"/>
        <w:gridCol w:w="832"/>
      </w:tblGrid>
      <w:tr w:rsidR="004A1E84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Comb.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exc.-)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lastRenderedPageBreak/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1.120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0.960</w:t>
            </w:r>
          </w:p>
        </w:tc>
      </w:tr>
    </w:tbl>
    <w:p w:rsidR="004A1E84" w:rsidRDefault="004A1E84">
      <w:pPr>
        <w:spacing w:after="0" w:line="2" w:lineRule="auto"/>
      </w:pP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Next/>
        <w:numPr>
          <w:ilvl w:val="0"/>
          <w:numId w:val="5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E.L.U. de rotura. Acero conformado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CTE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Cota de nieve: Altitud inferior o igual a 1000 m</w:t>
      </w:r>
    </w:p>
    <w:p w:rsidR="004A1E84" w:rsidRDefault="00CC4B9E">
      <w:pPr>
        <w:keepNext/>
        <w:numPr>
          <w:ilvl w:val="0"/>
          <w:numId w:val="5"/>
        </w:numPr>
        <w:spacing w:after="0" w:line="240" w:lineRule="auto"/>
        <w:rPr>
          <w:rFonts w:ascii="Verdana" w:hAnsi="Verdana" w:cs="Verdana"/>
          <w:b/>
          <w:sz w:val="18"/>
        </w:rPr>
      </w:pPr>
      <w:r>
        <w:lastRenderedPageBreak/>
        <w:tab/>
      </w:r>
      <w:r>
        <w:rPr>
          <w:rFonts w:ascii="Verdana" w:hAnsi="Verdana" w:cs="Verdana"/>
          <w:b/>
          <w:sz w:val="18"/>
        </w:rPr>
        <w:t>E.L.U. de rotura. Acero laminado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CTE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Cota de nieve: Altitud inferior o igual a 1000 m</w:t>
      </w:r>
    </w:p>
    <w:p w:rsidR="004A1E84" w:rsidRDefault="00CC4B9E">
      <w:pPr>
        <w:keepNext/>
        <w:numPr>
          <w:ilvl w:val="0"/>
          <w:numId w:val="5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E.L.U. de rotura. Madera</w:t>
      </w:r>
    </w:p>
    <w:p w:rsidR="004A1E84" w:rsidRDefault="00CC4B9E">
      <w:pPr>
        <w:keepNext/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CTE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Cota de nieve: Altitud inferior o igual a 1000 m</w:t>
      </w:r>
    </w:p>
    <w:p w:rsidR="004A1E84" w:rsidRDefault="00CC4B9E">
      <w:pPr>
        <w:keepNext/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Lines/>
        <w:spacing w:after="0" w:line="240" w:lineRule="auto"/>
        <w:ind w:left="567"/>
        <w:rPr>
          <w:rFonts w:ascii="Verdana" w:hAnsi="Verdana" w:cs="Verdana"/>
          <w:b/>
          <w:sz w:val="18"/>
        </w:rPr>
      </w:pPr>
      <w:r>
        <w:rPr>
          <w:rFonts w:ascii="Verdana" w:hAnsi="Verdana" w:cs="Verdana"/>
          <w:b/>
          <w:sz w:val="18"/>
        </w:rPr>
        <w:t>1. Coeficientes para situaciones persistentes o transitorias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4"/>
        <w:gridCol w:w="463"/>
        <w:gridCol w:w="463"/>
        <w:gridCol w:w="525"/>
        <w:gridCol w:w="625"/>
        <w:gridCol w:w="944"/>
        <w:gridCol w:w="893"/>
        <w:gridCol w:w="893"/>
        <w:gridCol w:w="842"/>
        <w:gridCol w:w="934"/>
        <w:gridCol w:w="883"/>
        <w:gridCol w:w="883"/>
        <w:gridCol w:w="832"/>
      </w:tblGrid>
      <w:tr w:rsidR="004A1E84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Comb.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exc.-)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lastRenderedPageBreak/>
              <w:t>48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0.800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1.350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1.050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0.900</w:t>
            </w:r>
          </w:p>
        </w:tc>
      </w:tr>
    </w:tbl>
    <w:p w:rsidR="004A1E84" w:rsidRDefault="004A1E84">
      <w:pPr>
        <w:spacing w:after="0" w:line="2" w:lineRule="auto"/>
      </w:pPr>
    </w:p>
    <w:p w:rsidR="004A1E84" w:rsidRDefault="00CC4B9E">
      <w:pPr>
        <w:keepLines/>
        <w:spacing w:after="0" w:line="240" w:lineRule="auto"/>
        <w:ind w:left="567"/>
        <w:rPr>
          <w:rFonts w:ascii="Verdana" w:hAnsi="Verdana" w:cs="Verdana"/>
          <w:b/>
          <w:sz w:val="18"/>
        </w:rPr>
      </w:pPr>
      <w:r>
        <w:rPr>
          <w:rFonts w:ascii="Verdana" w:hAnsi="Verdana" w:cs="Verdana"/>
          <w:b/>
          <w:sz w:val="18"/>
        </w:rPr>
        <w:t>2. Coeficientes para situaciones accidentales de incendio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4"/>
        <w:gridCol w:w="463"/>
        <w:gridCol w:w="463"/>
        <w:gridCol w:w="525"/>
        <w:gridCol w:w="625"/>
        <w:gridCol w:w="944"/>
        <w:gridCol w:w="893"/>
        <w:gridCol w:w="893"/>
        <w:gridCol w:w="842"/>
        <w:gridCol w:w="934"/>
        <w:gridCol w:w="883"/>
        <w:gridCol w:w="883"/>
        <w:gridCol w:w="832"/>
      </w:tblGrid>
      <w:tr w:rsidR="004A1E84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Comb.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exc.-)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0.700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lastRenderedPageBreak/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0.600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0.500</w:t>
            </w:r>
          </w:p>
        </w:tc>
      </w:tr>
    </w:tbl>
    <w:p w:rsidR="004A1E84" w:rsidRDefault="004A1E84">
      <w:pPr>
        <w:spacing w:after="0" w:line="2" w:lineRule="auto"/>
      </w:pP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p w:rsidR="004A1E84" w:rsidRDefault="00CC4B9E">
      <w:pPr>
        <w:keepNext/>
        <w:numPr>
          <w:ilvl w:val="0"/>
          <w:numId w:val="6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Tensiones sobre el terreno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Acciones características</w:t>
      </w:r>
    </w:p>
    <w:p w:rsidR="004A1E84" w:rsidRDefault="00CC4B9E">
      <w:pPr>
        <w:keepNext/>
        <w:numPr>
          <w:ilvl w:val="0"/>
          <w:numId w:val="6"/>
        </w:numPr>
        <w:spacing w:after="0" w:line="240" w:lineRule="auto"/>
        <w:rPr>
          <w:rFonts w:ascii="Verdana" w:hAnsi="Verdana" w:cs="Verdana"/>
          <w:b/>
          <w:sz w:val="18"/>
        </w:rPr>
      </w:pPr>
      <w:r>
        <w:tab/>
      </w:r>
      <w:r>
        <w:rPr>
          <w:rFonts w:ascii="Verdana" w:hAnsi="Verdana" w:cs="Verdana"/>
          <w:b/>
          <w:sz w:val="18"/>
        </w:rPr>
        <w:t>Desplazamientos</w:t>
      </w:r>
    </w:p>
    <w:p w:rsidR="004A1E84" w:rsidRDefault="00CC4B9E">
      <w:pPr>
        <w:spacing w:after="0" w:line="240" w:lineRule="auto"/>
        <w:ind w:left="567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Acciones características</w:t>
      </w:r>
    </w:p>
    <w:p w:rsidR="004A1E84" w:rsidRDefault="00CC4B9E">
      <w:pPr>
        <w:keepNext/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tbl>
      <w:tblPr>
        <w:tblW w:w="0" w:type="auto"/>
        <w:jc w:val="center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14"/>
        <w:gridCol w:w="463"/>
        <w:gridCol w:w="463"/>
        <w:gridCol w:w="525"/>
        <w:gridCol w:w="625"/>
        <w:gridCol w:w="944"/>
        <w:gridCol w:w="893"/>
        <w:gridCol w:w="893"/>
        <w:gridCol w:w="842"/>
        <w:gridCol w:w="934"/>
        <w:gridCol w:w="883"/>
        <w:gridCol w:w="883"/>
        <w:gridCol w:w="832"/>
      </w:tblGrid>
      <w:tr w:rsidR="004A1E84">
        <w:trPr>
          <w:tblHeader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Comb.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PP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CM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(C)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Qa (G2)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V(-X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V(+Y exc.-)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exc.+)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V(-Y exc.-)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27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28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29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31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32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33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34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</w:tr>
      <w:tr w:rsidR="004A1E84">
        <w:trPr>
          <w:cantSplit/>
          <w:jc w:val="center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1F0"/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36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 xml:space="preserve"> 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noWrap/>
            <w:vAlign w:val="center"/>
          </w:tcPr>
          <w:p w:rsidR="004A1E84" w:rsidRDefault="00CC4B9E">
            <w:pPr>
              <w:spacing w:after="0" w:line="240" w:lineRule="auto"/>
              <w:jc w:val="center"/>
              <w:rPr>
                <w:rFonts w:ascii="Verdana" w:hAnsi="Verdana" w:cs="Verdana"/>
                <w:sz w:val="14"/>
              </w:rPr>
            </w:pPr>
            <w:r>
              <w:rPr>
                <w:rFonts w:ascii="Verdana" w:hAnsi="Verdana" w:cs="Verdana"/>
                <w:sz w:val="14"/>
              </w:rPr>
              <w:t>1.000</w:t>
            </w:r>
          </w:p>
        </w:tc>
      </w:tr>
    </w:tbl>
    <w:p w:rsidR="004A1E84" w:rsidRDefault="004A1E84">
      <w:pPr>
        <w:spacing w:after="0" w:line="2" w:lineRule="auto"/>
      </w:pPr>
    </w:p>
    <w:p w:rsidR="004A1E84" w:rsidRDefault="00CC4B9E">
      <w:pPr>
        <w:spacing w:after="0" w:line="240" w:lineRule="auto"/>
      </w:pPr>
      <w:r>
        <w:rPr>
          <w:rFonts w:ascii="Verdana" w:hAnsi="Verdana" w:cs="Verdana"/>
          <w:sz w:val="18"/>
        </w:rPr>
        <w:t xml:space="preserve"> </w:t>
      </w:r>
    </w:p>
    <w:sectPr w:rsidR="004A1E84" w:rsidSect="00BB3DF6">
      <w:headerReference w:type="default" r:id="rId7"/>
      <w:footerReference w:type="default" r:id="rId8"/>
      <w:footerReference w:type="first" r:id="rId9"/>
      <w:pgSz w:w="11906" w:h="16838"/>
      <w:pgMar w:top="907" w:right="907" w:bottom="907" w:left="907" w:header="907" w:footer="907" w:gutter="28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423F" w:rsidRDefault="0095423F" w:rsidP="00715453">
      <w:pPr>
        <w:spacing w:after="0" w:line="240" w:lineRule="auto"/>
      </w:pPr>
      <w:r>
        <w:separator/>
      </w:r>
    </w:p>
  </w:endnote>
  <w:endnote w:type="continuationSeparator" w:id="0">
    <w:p w:rsidR="0095423F" w:rsidRDefault="0095423F" w:rsidP="00715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957459"/>
      <w:docPartObj>
        <w:docPartGallery w:val="Page Numbers (Bottom of Page)"/>
        <w:docPartUnique/>
      </w:docPartObj>
    </w:sdtPr>
    <w:sdtContent>
      <w:p w:rsidR="00BB3DF6" w:rsidRDefault="00BB3DF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3DF6" w:rsidRDefault="00BB3DF6">
    <w:pPr>
      <w:pStyle w:val="Piedep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423F" w:rsidRDefault="0095423F" w:rsidP="00715453">
      <w:pPr>
        <w:spacing w:after="0" w:line="240" w:lineRule="auto"/>
      </w:pPr>
      <w:r>
        <w:separator/>
      </w:r>
    </w:p>
  </w:footnote>
  <w:footnote w:type="continuationSeparator" w:id="0">
    <w:p w:rsidR="0095423F" w:rsidRDefault="0095423F" w:rsidP="00715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57"/>
      <w:gridCol w:w="379"/>
      <w:gridCol w:w="7929"/>
    </w:tblGrid>
    <w:tr w:rsidR="00CC19D1" w:rsidRPr="00636587" w:rsidTr="001A1AD2">
      <w:trPr>
        <w:cantSplit/>
        <w:trHeight w:val="924"/>
      </w:trPr>
      <w:tc>
        <w:tcPr>
          <w:tcW w:w="0" w:type="auto"/>
          <w:noWrap/>
          <w:vAlign w:val="bottom"/>
        </w:tcPr>
        <w:p w:rsidR="00CC19D1" w:rsidRPr="00636587" w:rsidRDefault="00CC19D1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7F513A9D" wp14:editId="6A42914B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CC19D1" w:rsidRPr="00636587" w:rsidRDefault="00CC19D1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CC19D1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CC19D1" w:rsidRPr="00636587" w:rsidRDefault="00CC19D1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CC19D1" w:rsidRPr="00636587" w:rsidRDefault="00CC19D1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19" w:type="pct"/>
          <w:vAlign w:val="center"/>
        </w:tcPr>
        <w:tbl>
          <w:tblPr>
            <w:tblW w:w="6763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117"/>
            <w:gridCol w:w="5646"/>
          </w:tblGrid>
          <w:tr w:rsidR="00CC19D1" w:rsidRPr="00636587" w:rsidTr="001A1AD2">
            <w:trPr>
              <w:cantSplit/>
              <w:trHeight w:val="465"/>
            </w:trPr>
            <w:tc>
              <w:tcPr>
                <w:tcW w:w="0" w:type="auto"/>
                <w:noWrap/>
                <w:vAlign w:val="center"/>
              </w:tcPr>
              <w:p w:rsidR="00CC19D1" w:rsidRPr="00636587" w:rsidRDefault="00CC19D1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CC19D1" w:rsidRPr="00636587" w:rsidRDefault="00CC19D1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>Local de Tielmes</w:t>
                </w:r>
              </w:p>
            </w:tc>
          </w:tr>
          <w:tr w:rsidR="00CC19D1" w:rsidRPr="00636587" w:rsidTr="001A1AD2">
            <w:trPr>
              <w:cantSplit/>
              <w:trHeight w:val="233"/>
            </w:trPr>
            <w:tc>
              <w:tcPr>
                <w:tcW w:w="0" w:type="auto"/>
                <w:noWrap/>
                <w:vAlign w:val="center"/>
              </w:tcPr>
              <w:p w:rsidR="00CC19D1" w:rsidRPr="00636587" w:rsidRDefault="00CC19D1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CC19D1" w:rsidRPr="00636587" w:rsidRDefault="00CC19D1" w:rsidP="001A1AD2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:rsidR="00CC19D1" w:rsidRPr="00636587" w:rsidRDefault="00CC19D1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CC19D1" w:rsidRPr="00636587" w:rsidRDefault="00CC19D1" w:rsidP="00CC19D1">
    <w:pPr>
      <w:spacing w:after="0" w:line="2" w:lineRule="auto"/>
      <w:rPr>
        <w:rFonts w:ascii="Verdana" w:hAnsi="Verdana"/>
      </w:rPr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949"/>
      <w:gridCol w:w="1916"/>
    </w:tblGrid>
    <w:tr w:rsidR="00CC19D1" w:rsidRPr="00636587" w:rsidTr="00BB3DF6">
      <w:trPr>
        <w:cantSplit/>
      </w:trPr>
      <w:tc>
        <w:tcPr>
          <w:tcW w:w="4029" w:type="pct"/>
          <w:noWrap/>
          <w:vAlign w:val="center"/>
        </w:tcPr>
        <w:p w:rsidR="00CC19D1" w:rsidRPr="00636587" w:rsidRDefault="00CC19D1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CC19D1" w:rsidRPr="00636587" w:rsidRDefault="004B217C" w:rsidP="001A1AD2">
          <w:pPr>
            <w:pStyle w:val="CABEZAPAGfechavalor"/>
            <w:jc w:val="right"/>
          </w:pPr>
          <w:r>
            <w:t>A5</w:t>
          </w:r>
          <w:r w:rsidR="00CC19D1">
            <w:t>. CÁLCULO ESTRUCTURAL</w:t>
          </w:r>
        </w:p>
      </w:tc>
    </w:tr>
    <w:tr w:rsidR="00CC19D1" w:rsidRPr="00636587" w:rsidTr="001A1AD2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CC19D1" w:rsidRPr="00636587" w:rsidRDefault="00CC19D1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CC19D1" w:rsidRPr="00636587" w:rsidRDefault="00CC19D1" w:rsidP="001A1AD2">
          <w:pPr>
            <w:pStyle w:val="CABEZAPAGnombrecapitulo"/>
            <w:jc w:val="right"/>
          </w:pPr>
          <w:r>
            <w:t>B02</w:t>
          </w:r>
          <w:r w:rsidRPr="00636587">
            <w:t xml:space="preserve">. </w:t>
          </w:r>
          <w:r>
            <w:t>COMBINACIONES</w:t>
          </w:r>
        </w:p>
      </w:tc>
    </w:tr>
  </w:tbl>
  <w:p w:rsidR="00CC19D1" w:rsidRPr="00BB3DF6" w:rsidRDefault="00BB3DF6" w:rsidP="00BB3DF6">
    <w:pPr>
      <w:pStyle w:val="Encabezado"/>
      <w:rPr>
        <w:sz w:val="2"/>
        <w:szCs w:val="2"/>
      </w:rPr>
    </w:pPr>
    <w:r>
      <w:rPr>
        <w:sz w:val="2"/>
        <w:szCs w:val="2"/>
      </w:rPr>
      <w:pict>
        <v:rect id="_x0000_i1025" style="width:50pt;height:.3pt" o:hrstd="t" o:hrnoshade="t" o:hr="t" fillcolor="black" stroked="f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95E9C"/>
    <w:multiLevelType w:val="singleLevel"/>
    <w:tmpl w:val="B0983EDC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1" w15:restartNumberingAfterBreak="0">
    <w:nsid w:val="24EF1D24"/>
    <w:multiLevelType w:val="singleLevel"/>
    <w:tmpl w:val="2E12F182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2" w15:restartNumberingAfterBreak="0">
    <w:nsid w:val="41DB2DF4"/>
    <w:multiLevelType w:val="singleLevel"/>
    <w:tmpl w:val="69CE92CC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3" w15:restartNumberingAfterBreak="0">
    <w:nsid w:val="489A01CF"/>
    <w:multiLevelType w:val="singleLevel"/>
    <w:tmpl w:val="43A21204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4" w15:restartNumberingAfterBreak="0">
    <w:nsid w:val="624D70CA"/>
    <w:multiLevelType w:val="singleLevel"/>
    <w:tmpl w:val="7EB69E00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abstractNum w:abstractNumId="5" w15:restartNumberingAfterBreak="0">
    <w:nsid w:val="7C7441C6"/>
    <w:multiLevelType w:val="singleLevel"/>
    <w:tmpl w:val="FEEA1040"/>
    <w:lvl w:ilvl="0">
      <w:start w:val="1"/>
      <w:numFmt w:val="bullet"/>
      <w:lvlText w:val="n"/>
      <w:lvlJc w:val="left"/>
      <w:pPr>
        <w:tabs>
          <w:tab w:val="left" w:pos="431"/>
          <w:tab w:val="left" w:pos="442"/>
        </w:tabs>
        <w:ind w:left="442" w:hanging="159"/>
      </w:pPr>
      <w:rPr>
        <w:rFonts w:ascii="Wingdings" w:hAnsi="Wingdings" w:hint="default"/>
        <w:sz w:val="14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A1E84"/>
    <w:rsid w:val="004A1E84"/>
    <w:rsid w:val="004B217C"/>
    <w:rsid w:val="00715453"/>
    <w:rsid w:val="008C0125"/>
    <w:rsid w:val="0095423F"/>
    <w:rsid w:val="00BB3DF6"/>
    <w:rsid w:val="00CC19D1"/>
    <w:rsid w:val="00CC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B387C2F-C900-43E3-9C45-99BC5F2B8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154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15453"/>
  </w:style>
  <w:style w:type="paragraph" w:styleId="Piedepgina">
    <w:name w:val="footer"/>
    <w:basedOn w:val="Normal"/>
    <w:link w:val="PiedepginaCar"/>
    <w:uiPriority w:val="99"/>
    <w:unhideWhenUsed/>
    <w:rsid w:val="0071545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5453"/>
  </w:style>
  <w:style w:type="paragraph" w:customStyle="1" w:styleId="ESTILOPORTADA">
    <w:name w:val="ESTILO_PORTADA"/>
    <w:basedOn w:val="Normal"/>
    <w:next w:val="Normal"/>
    <w:uiPriority w:val="9"/>
    <w:qFormat/>
    <w:rsid w:val="00715453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CABEZAPAGtexto">
    <w:name w:val="CABEZA_PAG_texto"/>
    <w:basedOn w:val="Normal"/>
    <w:uiPriority w:val="9"/>
    <w:qFormat/>
    <w:rsid w:val="00715453"/>
    <w:pPr>
      <w:spacing w:after="0" w:line="240" w:lineRule="auto"/>
    </w:pPr>
    <w:rPr>
      <w:rFonts w:ascii="Arial Narrow" w:hAnsi="Arial Narrow" w:cs="Arial Narrow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715453"/>
    <w:pPr>
      <w:spacing w:after="0" w:line="240" w:lineRule="auto"/>
    </w:pPr>
    <w:rPr>
      <w:rFonts w:ascii="Arial Narrow" w:hAnsi="Arial Narrow" w:cs="Arial Narrow"/>
      <w:sz w:val="16"/>
    </w:rPr>
  </w:style>
  <w:style w:type="paragraph" w:customStyle="1" w:styleId="CABEZAPAGcampocabecera">
    <w:name w:val="CABEZA_PAG_campo_cabecera"/>
    <w:basedOn w:val="Normal"/>
    <w:uiPriority w:val="9"/>
    <w:qFormat/>
    <w:rsid w:val="00715453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nombrecapitulo">
    <w:name w:val="CABEZA_PAG_nombre_capitulo"/>
    <w:basedOn w:val="Normal"/>
    <w:uiPriority w:val="9"/>
    <w:qFormat/>
    <w:rsid w:val="00715453"/>
    <w:pPr>
      <w:spacing w:after="0" w:line="240" w:lineRule="auto"/>
    </w:pPr>
    <w:rPr>
      <w:rFonts w:ascii="Verdana" w:hAnsi="Verdana" w:cs="Verdana"/>
      <w:sz w:val="1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715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154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2437</Words>
  <Characters>13409</Characters>
  <Application>Microsoft Office Word</Application>
  <DocSecurity>0</DocSecurity>
  <Lines>111</Lines>
  <Paragraphs>31</Paragraphs>
  <ScaleCrop>false</ScaleCrop>
  <Company/>
  <LinksUpToDate>false</LinksUpToDate>
  <CharactersWithSpaces>15815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5</cp:revision>
  <dcterms:created xsi:type="dcterms:W3CDTF">2022-06-15T07:43:00Z</dcterms:created>
  <dcterms:modified xsi:type="dcterms:W3CDTF">2022-11-17T15:51:00Z</dcterms:modified>
</cp:coreProperties>
</file>